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</w:pPr>
      <w:r>
        <w:rPr>
          <w:b/>
          <w:sz w:val="36"/>
        </w:rPr>
        <w:t>Executive Brief (1-Page) — WISTRONE</w:t>
      </w:r>
    </w:p>
    <w:p>
      <w:pPr>
        <w:spacing w:after="160"/>
      </w:pPr>
      <w:r>
        <w:rPr>
          <w:i/>
          <w:color w:val="475569"/>
          <w:sz w:val="20"/>
        </w:rPr>
        <w:t>Practical operator template: problem → actions → results. Replace bracketed prompts. Keep it to one page.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val="clear" w:color="auto" w:fill="E2E8F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/>
            <w:r>
              <w:rPr>
                <w:b/>
                <w:color w:val="0F172A"/>
                <w:sz w:val="20"/>
              </w:rPr>
              <w:t>Organization / Team</w:t>
            </w:r>
          </w:p>
        </w:tc>
        <w:tc>
          <w:tcPr>
            <w:tcW w:type="dxa" w:w="2160"/>
            <w:shd w:val="clear" w:color="auto" w:fill="E2E8F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/>
            <w:r>
              <w:rPr>
                <w:b/>
                <w:color w:val="0F172A"/>
                <w:sz w:val="20"/>
              </w:rPr>
              <w:t>Date</w:t>
            </w:r>
          </w:p>
        </w:tc>
        <w:tc>
          <w:tcPr>
            <w:tcW w:type="dxa" w:w="2160"/>
            <w:shd w:val="clear" w:color="auto" w:fill="E2E8F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/>
            <w:r>
              <w:rPr>
                <w:b/>
                <w:color w:val="0F172A"/>
                <w:sz w:val="20"/>
              </w:rPr>
              <w:t>Prepared for</w:t>
            </w:r>
          </w:p>
        </w:tc>
        <w:tc>
          <w:tcPr>
            <w:tcW w:type="dxa" w:w="2160"/>
            <w:shd w:val="clear" w:color="auto" w:fill="E2E8F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/>
            <w:r>
              <w:rPr>
                <w:b/>
                <w:color w:val="0F172A"/>
                <w:sz w:val="20"/>
              </w:rPr>
              <w:t>Prepared by</w:t>
            </w:r>
          </w:p>
        </w:tc>
      </w:tr>
      <w:tr>
        <w:tc>
          <w:tcPr>
            <w:tcW w:type="dxa" w:w="216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/>
            <w:r>
              <w:rPr>
                <w:b w:val="0"/>
                <w:sz w:val="20"/>
              </w:rPr>
              <w:t>[Org / Business Unit]</w:t>
            </w:r>
          </w:p>
        </w:tc>
        <w:tc>
          <w:tcPr>
            <w:tcW w:type="dxa" w:w="216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/>
            <w:r>
              <w:rPr>
                <w:b w:val="0"/>
                <w:sz w:val="20"/>
              </w:rPr>
              <w:t>[YYYY-MM-DD]</w:t>
            </w:r>
          </w:p>
        </w:tc>
        <w:tc>
          <w:tcPr>
            <w:tcW w:type="dxa" w:w="216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/>
            <w:r>
              <w:rPr>
                <w:b w:val="0"/>
                <w:sz w:val="20"/>
              </w:rPr>
              <w:t>[Name / Role]</w:t>
            </w:r>
          </w:p>
        </w:tc>
        <w:tc>
          <w:tcPr>
            <w:tcW w:type="dxa" w:w="216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/>
            <w:r>
              <w:rPr>
                <w:b w:val="0"/>
                <w:sz w:val="20"/>
              </w:rPr>
              <w:t>[Name / Role]</w:t>
            </w:r>
          </w:p>
        </w:tc>
      </w:tr>
    </w:tbl>
    <w:p>
      <w:pPr>
        <w:spacing w:after="120"/>
      </w:pP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880"/>
            <w:shd w:val="clear" w:color="auto" w:fill="E2E8F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/>
            <w:r>
              <w:rPr>
                <w:b/>
                <w:color w:val="0F172A"/>
                <w:sz w:val="20"/>
              </w:rPr>
              <w:t>3-Year Outcomes (O)</w:t>
              <w:br/>
              <w:t>What success looks like</w:t>
            </w:r>
          </w:p>
        </w:tc>
        <w:tc>
          <w:tcPr>
            <w:tcW w:type="dxa" w:w="792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sz w:val="20"/>
              </w:rPr>
              <w:t>• [Outcome 1 — metric + target + date]</w:t>
              <w:br/>
              <w:t>• [Outcome 2 — metric + target + date]</w:t>
              <w:br/>
              <w:t>• [Outcome 3 — metric + target + date]</w:t>
              <w:br/>
              <w:t>Baseline: [current value(s)]</w:t>
            </w:r>
          </w:p>
        </w:tc>
      </w:tr>
      <w:tr>
        <w:tc>
          <w:tcPr>
            <w:tcW w:type="dxa" w:w="2880"/>
            <w:shd w:val="clear" w:color="auto" w:fill="E2E8F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/>
            <w:r>
              <w:rPr>
                <w:b/>
                <w:color w:val="0F172A"/>
                <w:sz w:val="20"/>
              </w:rPr>
              <w:t>Constraints &amp; Realities (I + W)</w:t>
              <w:br/>
              <w:t>What must be true in the plan</w:t>
            </w:r>
          </w:p>
        </w:tc>
        <w:tc>
          <w:tcPr>
            <w:tcW w:type="dxa" w:w="792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sz w:val="20"/>
              </w:rPr>
              <w:t>External forces (I):</w:t>
              <w:br/>
              <w:t>• [Top 1–3 non-negotiable forces]</w:t>
              <w:br/>
              <w:t>Internal frictions (W):</w:t>
              <w:br/>
              <w:t>• [Top 1–3 breakdowns limiting execution]</w:t>
            </w:r>
          </w:p>
        </w:tc>
      </w:tr>
      <w:tr>
        <w:tc>
          <w:tcPr>
            <w:tcW w:type="dxa" w:w="2880"/>
            <w:shd w:val="clear" w:color="auto" w:fill="E2E8F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/>
            <w:r>
              <w:rPr>
                <w:b/>
                <w:color w:val="0F172A"/>
                <w:sz w:val="20"/>
              </w:rPr>
              <w:t>Customer Non‑Negotiables (N)</w:t>
              <w:br/>
              <w:t>What customers must get consistently</w:t>
            </w:r>
          </w:p>
        </w:tc>
        <w:tc>
          <w:tcPr>
            <w:tcW w:type="dxa" w:w="792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sz w:val="20"/>
              </w:rPr>
              <w:t>• [Need 1 — outcome/expectation]</w:t>
              <w:br/>
              <w:t>• [Need 2]</w:t>
              <w:br/>
              <w:t>• [Need 3]</w:t>
              <w:br/>
              <w:t>Evidence: [VOC / churn drivers / frontline feedback / data]</w:t>
            </w:r>
          </w:p>
        </w:tc>
      </w:tr>
      <w:tr>
        <w:tc>
          <w:tcPr>
            <w:tcW w:type="dxa" w:w="2880"/>
            <w:shd w:val="clear" w:color="auto" w:fill="E2E8F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/>
            <w:r>
              <w:rPr>
                <w:b/>
                <w:color w:val="0F172A"/>
                <w:sz w:val="20"/>
              </w:rPr>
              <w:t>Top Priorities (E)</w:t>
              <w:br/>
              <w:t>What we will do and when</w:t>
            </w:r>
          </w:p>
        </w:tc>
        <w:tc>
          <w:tcPr>
            <w:tcW w:type="dxa" w:w="792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sz w:val="20"/>
              </w:rPr>
              <w:t>Year 1 — Stabilize:</w:t>
              <w:br/>
              <w:t>• [Initiative A]</w:t>
              <w:br/>
              <w:t>• [Initiative B]</w:t>
              <w:br/>
              <w:t>Year 2 — Grow:</w:t>
              <w:br/>
              <w:t>• [Initiative C]</w:t>
              <w:br/>
              <w:t>Year 3 — Scale:</w:t>
              <w:br/>
              <w:t>• [Initiative D]</w:t>
            </w:r>
          </w:p>
        </w:tc>
      </w:tr>
      <w:tr>
        <w:tc>
          <w:tcPr>
            <w:tcW w:type="dxa" w:w="2880"/>
            <w:shd w:val="clear" w:color="auto" w:fill="E2E8F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/>
            <w:r>
              <w:rPr>
                <w:b/>
                <w:color w:val="0F172A"/>
                <w:sz w:val="20"/>
              </w:rPr>
              <w:t>Trade‑offs (Stop / Reduce / Defer)</w:t>
              <w:br/>
              <w:t>What we will NOT do</w:t>
            </w:r>
          </w:p>
        </w:tc>
        <w:tc>
          <w:tcPr>
            <w:tcW w:type="dxa" w:w="792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sz w:val="20"/>
              </w:rPr>
              <w:t>Stop:</w:t>
              <w:br/>
              <w:t>• [Thing to stop]</w:t>
              <w:br/>
              <w:t>Reduce/Defer:</w:t>
              <w:br/>
              <w:t>• [Thing to reduce/defer]</w:t>
              <w:br/>
              <w:t>Why: [capacity, ROI, focus, risk]</w:t>
            </w:r>
          </w:p>
        </w:tc>
      </w:tr>
      <w:tr>
        <w:tc>
          <w:tcPr>
            <w:tcW w:type="dxa" w:w="2880"/>
            <w:shd w:val="clear" w:color="auto" w:fill="E2E8F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/>
            <w:r>
              <w:rPr>
                <w:b/>
                <w:color w:val="0F172A"/>
                <w:sz w:val="20"/>
              </w:rPr>
              <w:t>Ownership, KPIs, Cadence</w:t>
              <w:br/>
              <w:t>How we run it</w:t>
            </w:r>
          </w:p>
        </w:tc>
        <w:tc>
          <w:tcPr>
            <w:tcW w:type="dxa" w:w="792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sz w:val="20"/>
              </w:rPr>
              <w:t>Owner: [Exec sponsor] | Day‑to‑day lead: [Name]</w:t>
              <w:br/>
              <w:t>KPIs (leading): [2–4 leading indicators]</w:t>
              <w:br/>
              <w:t>KPIs (lagging): [2–3 outcome metrics]</w:t>
              <w:br/>
              <w:t>Review cadence: [weekly ops] / [monthly KPI] / [quarterly roadmap]</w:t>
              <w:br/>
              <w:t>Key risks &amp; mitigations: [Top 1–2]</w:t>
              <w:br/>
              <w:br/>
              <w:t>Operator test: If you can’t name what you’re stopping, you don’t have a plan — you have a wish list.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